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B55CB2" w14:textId="77777777" w:rsidR="00EF1ED8" w:rsidRPr="006C0A41" w:rsidRDefault="00EF1ED8" w:rsidP="00EF1ED8">
      <w:pPr>
        <w:rPr>
          <w:rFonts w:ascii="Helvetica" w:hAnsi="Helvetica" w:cs="Times New Roman"/>
          <w:b/>
          <w:color w:val="000000"/>
        </w:rPr>
      </w:pPr>
      <w:bookmarkStart w:id="0" w:name="_GoBack"/>
      <w:bookmarkEnd w:id="0"/>
      <w:proofErr w:type="spellStart"/>
      <w:r w:rsidRPr="006C0A41">
        <w:rPr>
          <w:rFonts w:ascii="Helvetica" w:hAnsi="Helvetica" w:cs="Times New Roman"/>
          <w:b/>
          <w:color w:val="000000"/>
        </w:rPr>
        <w:t>Gilenya</w:t>
      </w:r>
      <w:proofErr w:type="spellEnd"/>
      <w:r w:rsidRPr="00EF1ED8">
        <w:rPr>
          <w:rFonts w:ascii="Helvetica" w:hAnsi="Helvetica" w:cs="Times New Roman"/>
          <w:b/>
          <w:color w:val="000000"/>
          <w:vertAlign w:val="superscript"/>
        </w:rPr>
        <w:t>®</w:t>
      </w:r>
      <w:r w:rsidRPr="006C0A41">
        <w:rPr>
          <w:rFonts w:ascii="Helvetica" w:hAnsi="Helvetica" w:cs="Times New Roman"/>
          <w:b/>
          <w:color w:val="000000"/>
        </w:rPr>
        <w:t xml:space="preserve"> (</w:t>
      </w:r>
      <w:proofErr w:type="spellStart"/>
      <w:r w:rsidRPr="006C0A41">
        <w:rPr>
          <w:rFonts w:ascii="Helvetica" w:hAnsi="Helvetica" w:cs="Times New Roman"/>
          <w:b/>
          <w:color w:val="000000"/>
        </w:rPr>
        <w:t>fingolimod</w:t>
      </w:r>
      <w:proofErr w:type="spellEnd"/>
      <w:r w:rsidRPr="006C0A41">
        <w:rPr>
          <w:rFonts w:ascii="Helvetica" w:hAnsi="Helvetica" w:cs="Times New Roman"/>
          <w:b/>
          <w:color w:val="000000"/>
        </w:rPr>
        <w:t>) : risque pour l’enfant à naître et nouvelle contre-indication</w:t>
      </w:r>
    </w:p>
    <w:p w14:paraId="30B1D86E" w14:textId="77777777" w:rsidR="00EF1ED8" w:rsidRDefault="00EF1ED8" w:rsidP="00EF1ED8">
      <w:pPr>
        <w:rPr>
          <w:rFonts w:ascii="Helvetica" w:hAnsi="Helvetica" w:cs="Times New Roman"/>
          <w:color w:val="000000"/>
          <w:sz w:val="18"/>
          <w:szCs w:val="18"/>
        </w:rPr>
      </w:pPr>
    </w:p>
    <w:p w14:paraId="31C8BD8B" w14:textId="77777777" w:rsidR="00EF1ED8" w:rsidRDefault="00EF1ED8" w:rsidP="00EF1ED8">
      <w:pPr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 xml:space="preserve">Les données actuellement connues sur le </w:t>
      </w:r>
      <w:proofErr w:type="spellStart"/>
      <w:r>
        <w:rPr>
          <w:rFonts w:ascii="Helvetica" w:hAnsi="Helvetica"/>
          <w:sz w:val="18"/>
          <w:szCs w:val="18"/>
        </w:rPr>
        <w:t>Gilenya</w:t>
      </w:r>
      <w:proofErr w:type="spellEnd"/>
      <w:r w:rsidRPr="00EF1ED8">
        <w:rPr>
          <w:rFonts w:ascii="Helvetica" w:hAnsi="Helvetica" w:cs="Helvetica"/>
          <w:sz w:val="18"/>
          <w:szCs w:val="18"/>
          <w:vertAlign w:val="superscript"/>
        </w:rPr>
        <w:t>®</w:t>
      </w:r>
      <w:r>
        <w:rPr>
          <w:rFonts w:ascii="Helvetica" w:hAnsi="Helvetica"/>
          <w:sz w:val="18"/>
          <w:szCs w:val="18"/>
        </w:rPr>
        <w:t xml:space="preserve"> suggèrent que les nourrissons nés de mères traitées par </w:t>
      </w:r>
      <w:proofErr w:type="spellStart"/>
      <w:r>
        <w:rPr>
          <w:rFonts w:ascii="Helvetica" w:hAnsi="Helvetica"/>
          <w:sz w:val="18"/>
          <w:szCs w:val="18"/>
        </w:rPr>
        <w:t>fingolimod</w:t>
      </w:r>
      <w:proofErr w:type="spellEnd"/>
      <w:r>
        <w:rPr>
          <w:rFonts w:ascii="Helvetica" w:hAnsi="Helvetica"/>
          <w:sz w:val="18"/>
          <w:szCs w:val="18"/>
        </w:rPr>
        <w:t xml:space="preserve"> au cours de la grossesse présentent un risque de malformations congénitales majeures deux fois plus élevé que celui de la population générale</w:t>
      </w:r>
      <w:r w:rsidRPr="002D11E8">
        <w:rPr>
          <w:rFonts w:ascii="Helvetica" w:hAnsi="Helvetica"/>
          <w:sz w:val="18"/>
          <w:szCs w:val="18"/>
          <w:vertAlign w:val="superscript"/>
        </w:rPr>
        <w:t>1</w:t>
      </w:r>
      <w:r>
        <w:rPr>
          <w:rFonts w:ascii="Helvetica" w:hAnsi="Helvetica"/>
          <w:sz w:val="18"/>
          <w:szCs w:val="18"/>
        </w:rPr>
        <w:t>, notamment des cardiopathies congénitales, des anomalies rénales ou musculo-squelettiques.</w:t>
      </w:r>
    </w:p>
    <w:p w14:paraId="7D1C3F34" w14:textId="77777777" w:rsidR="00EF1ED8" w:rsidRDefault="00EF1ED8" w:rsidP="00EF1ED8">
      <w:pPr>
        <w:rPr>
          <w:rFonts w:ascii="Helvetica" w:hAnsi="Helvetica"/>
          <w:sz w:val="18"/>
          <w:szCs w:val="18"/>
        </w:rPr>
      </w:pPr>
    </w:p>
    <w:p w14:paraId="3FB1B98F" w14:textId="055F524A" w:rsidR="00EF1ED8" w:rsidRDefault="00EF1ED8" w:rsidP="00EF1ED8">
      <w:pPr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>Aussi, en juillet 2019, le Comité pour l’</w:t>
      </w:r>
      <w:r>
        <w:rPr>
          <w:rFonts w:ascii="Helvetica" w:hAnsi="Helvetica"/>
          <w:sz w:val="18"/>
          <w:szCs w:val="18"/>
        </w:rPr>
        <w:t>É</w:t>
      </w:r>
      <w:r>
        <w:rPr>
          <w:rFonts w:ascii="Helvetica" w:hAnsi="Helvetica"/>
          <w:sz w:val="18"/>
          <w:szCs w:val="18"/>
        </w:rPr>
        <w:t xml:space="preserve">valuation des Risques en matière de Pharmacovigilance (PRAC) recommande la contre-indication de </w:t>
      </w:r>
      <w:proofErr w:type="spellStart"/>
      <w:r>
        <w:rPr>
          <w:rFonts w:ascii="Helvetica" w:hAnsi="Helvetica"/>
          <w:sz w:val="18"/>
          <w:szCs w:val="18"/>
        </w:rPr>
        <w:t>Gilenya</w:t>
      </w:r>
      <w:proofErr w:type="spellEnd"/>
      <w:r w:rsidR="00CB3814" w:rsidRPr="00CB3814">
        <w:rPr>
          <w:rFonts w:ascii="Helvetica" w:hAnsi="Helvetica"/>
          <w:sz w:val="18"/>
          <w:szCs w:val="18"/>
          <w:vertAlign w:val="superscript"/>
        </w:rPr>
        <w:t>®</w:t>
      </w:r>
      <w:r>
        <w:rPr>
          <w:rFonts w:ascii="Helvetica" w:hAnsi="Helvetica"/>
          <w:sz w:val="18"/>
          <w:szCs w:val="18"/>
        </w:rPr>
        <w:t xml:space="preserve"> chez les femmes enceintes et les femmes en âge de procréer n’utilisant pas une contraception efficace. </w:t>
      </w:r>
      <w:r>
        <w:rPr>
          <w:rFonts w:ascii="Helvetica" w:hAnsi="Helvetica"/>
          <w:sz w:val="18"/>
          <w:szCs w:val="18"/>
        </w:rPr>
        <w:t xml:space="preserve">Il demande </w:t>
      </w:r>
      <w:r>
        <w:rPr>
          <w:rFonts w:ascii="Helvetica" w:hAnsi="Helvetica"/>
          <w:sz w:val="18"/>
          <w:szCs w:val="18"/>
        </w:rPr>
        <w:t>la mise en place d’une « carte patient » spécifique à la grossesse.</w:t>
      </w:r>
    </w:p>
    <w:p w14:paraId="20286C9B" w14:textId="77777777" w:rsidR="00EF1ED8" w:rsidRDefault="00EF1ED8" w:rsidP="00EF1ED8">
      <w:pPr>
        <w:rPr>
          <w:rFonts w:ascii="Helvetica" w:hAnsi="Helvetica"/>
          <w:sz w:val="18"/>
          <w:szCs w:val="18"/>
        </w:rPr>
      </w:pPr>
    </w:p>
    <w:p w14:paraId="49DB3EFD" w14:textId="77777777" w:rsidR="00EF1ED8" w:rsidRDefault="00EF1ED8" w:rsidP="00EF1ED8">
      <w:pPr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 xml:space="preserve">Les informations de sécurité concernant le </w:t>
      </w:r>
      <w:proofErr w:type="spellStart"/>
      <w:r>
        <w:rPr>
          <w:rFonts w:ascii="Helvetica" w:hAnsi="Helvetica"/>
          <w:sz w:val="18"/>
          <w:szCs w:val="18"/>
        </w:rPr>
        <w:t>fingolimod</w:t>
      </w:r>
      <w:proofErr w:type="spellEnd"/>
      <w:r>
        <w:rPr>
          <w:rFonts w:ascii="Helvetica" w:hAnsi="Helvetica"/>
          <w:sz w:val="18"/>
          <w:szCs w:val="18"/>
        </w:rPr>
        <w:t xml:space="preserve"> ont été renforcées dans ce sens :</w:t>
      </w:r>
    </w:p>
    <w:p w14:paraId="7B0C5117" w14:textId="77777777" w:rsidR="00EF1ED8" w:rsidRDefault="00EF1ED8" w:rsidP="00EF1ED8">
      <w:pPr>
        <w:rPr>
          <w:rFonts w:ascii="Helvetica" w:hAnsi="Helvetica"/>
          <w:sz w:val="18"/>
          <w:szCs w:val="18"/>
        </w:rPr>
      </w:pPr>
    </w:p>
    <w:p w14:paraId="228FCFC0" w14:textId="77777777" w:rsidR="00EF1ED8" w:rsidRDefault="00EF1ED8" w:rsidP="00EF1ED8">
      <w:pPr>
        <w:rPr>
          <w:rFonts w:ascii="Helvetica" w:eastAsia="Times New Roman" w:hAnsi="Helvetica" w:cs="Times New Roman"/>
          <w:sz w:val="18"/>
          <w:szCs w:val="18"/>
        </w:rPr>
      </w:pPr>
      <w:r>
        <w:rPr>
          <w:rFonts w:ascii="Helvetica" w:eastAsia="Times New Roman" w:hAnsi="Helvetica" w:cs="Times New Roman"/>
          <w:b/>
          <w:bCs/>
          <w:sz w:val="18"/>
          <w:szCs w:val="18"/>
        </w:rPr>
        <w:t>L</w:t>
      </w:r>
      <w:r w:rsidRPr="002D11E8">
        <w:rPr>
          <w:rFonts w:ascii="Helvetica" w:eastAsia="Times New Roman" w:hAnsi="Helvetica" w:cs="Times New Roman"/>
          <w:b/>
          <w:bCs/>
          <w:sz w:val="18"/>
          <w:szCs w:val="18"/>
        </w:rPr>
        <w:t xml:space="preserve">e </w:t>
      </w:r>
      <w:proofErr w:type="spellStart"/>
      <w:r w:rsidRPr="002D11E8">
        <w:rPr>
          <w:rFonts w:ascii="Helvetica" w:eastAsia="Times New Roman" w:hAnsi="Helvetica" w:cs="Times New Roman"/>
          <w:b/>
          <w:bCs/>
          <w:sz w:val="18"/>
          <w:szCs w:val="18"/>
        </w:rPr>
        <w:t>fingolimod</w:t>
      </w:r>
      <w:proofErr w:type="spellEnd"/>
      <w:r>
        <w:rPr>
          <w:rFonts w:ascii="Helvetica" w:eastAsia="Times New Roman" w:hAnsi="Helvetica" w:cs="Times New Roman"/>
          <w:b/>
          <w:bCs/>
          <w:sz w:val="18"/>
          <w:szCs w:val="18"/>
        </w:rPr>
        <w:t xml:space="preserve"> (</w:t>
      </w:r>
      <w:proofErr w:type="spellStart"/>
      <w:r>
        <w:rPr>
          <w:rFonts w:ascii="Helvetica" w:eastAsia="Times New Roman" w:hAnsi="Helvetica" w:cs="Times New Roman"/>
          <w:b/>
          <w:bCs/>
          <w:sz w:val="18"/>
          <w:szCs w:val="18"/>
        </w:rPr>
        <w:t>Gilenya</w:t>
      </w:r>
      <w:proofErr w:type="spellEnd"/>
      <w:r w:rsidRPr="000E7CFA">
        <w:rPr>
          <w:rFonts w:ascii="Helvetica" w:eastAsia="Times New Roman" w:hAnsi="Helvetica" w:cs="Times New Roman"/>
          <w:b/>
          <w:bCs/>
          <w:sz w:val="18"/>
          <w:szCs w:val="18"/>
          <w:vertAlign w:val="superscript"/>
        </w:rPr>
        <w:t>®</w:t>
      </w:r>
      <w:r>
        <w:rPr>
          <w:rFonts w:ascii="Helvetica" w:eastAsia="Times New Roman" w:hAnsi="Helvetica" w:cs="Times New Roman"/>
          <w:b/>
          <w:bCs/>
          <w:sz w:val="18"/>
          <w:szCs w:val="18"/>
        </w:rPr>
        <w:t xml:space="preserve">) </w:t>
      </w:r>
      <w:r w:rsidRPr="002D11E8">
        <w:rPr>
          <w:rFonts w:ascii="Helvetica" w:eastAsia="Times New Roman" w:hAnsi="Helvetica" w:cs="Times New Roman"/>
          <w:b/>
          <w:bCs/>
          <w:sz w:val="18"/>
          <w:szCs w:val="18"/>
        </w:rPr>
        <w:t xml:space="preserve">est </w:t>
      </w:r>
      <w:r>
        <w:rPr>
          <w:rFonts w:ascii="Helvetica" w:eastAsia="Times New Roman" w:hAnsi="Helvetica" w:cs="Times New Roman"/>
          <w:b/>
          <w:bCs/>
          <w:sz w:val="18"/>
          <w:szCs w:val="18"/>
        </w:rPr>
        <w:t xml:space="preserve">désormais </w:t>
      </w:r>
      <w:r w:rsidRPr="002D11E8">
        <w:rPr>
          <w:rFonts w:ascii="Helvetica" w:eastAsia="Times New Roman" w:hAnsi="Helvetica" w:cs="Times New Roman"/>
          <w:b/>
          <w:bCs/>
          <w:sz w:val="18"/>
          <w:szCs w:val="18"/>
        </w:rPr>
        <w:t>contre-indiqué :</w:t>
      </w:r>
    </w:p>
    <w:p w14:paraId="0221BDEA" w14:textId="77777777" w:rsidR="00EF1ED8" w:rsidRPr="002D11E8" w:rsidRDefault="00EF1ED8" w:rsidP="00EF1ED8">
      <w:pPr>
        <w:numPr>
          <w:ilvl w:val="0"/>
          <w:numId w:val="3"/>
        </w:numPr>
        <w:ind w:left="426" w:hanging="426"/>
        <w:rPr>
          <w:rFonts w:ascii="Helvetica" w:eastAsia="Times New Roman" w:hAnsi="Helvetica" w:cs="Times New Roman"/>
          <w:sz w:val="18"/>
          <w:szCs w:val="18"/>
        </w:rPr>
      </w:pPr>
      <w:r>
        <w:rPr>
          <w:rFonts w:ascii="Helvetica" w:eastAsia="Times New Roman" w:hAnsi="Helvetica" w:cs="Times New Roman"/>
          <w:b/>
          <w:bCs/>
          <w:sz w:val="18"/>
          <w:szCs w:val="18"/>
        </w:rPr>
        <w:t xml:space="preserve">chez </w:t>
      </w:r>
      <w:r w:rsidRPr="002D11E8">
        <w:rPr>
          <w:rFonts w:ascii="Helvetica" w:eastAsia="Times New Roman" w:hAnsi="Helvetica" w:cs="Times New Roman"/>
          <w:b/>
          <w:bCs/>
          <w:sz w:val="18"/>
          <w:szCs w:val="18"/>
        </w:rPr>
        <w:t>la femme enceinte,</w:t>
      </w:r>
      <w:r w:rsidRPr="002D11E8">
        <w:rPr>
          <w:rFonts w:ascii="Helvetica" w:eastAsia="Times New Roman" w:hAnsi="Helvetica" w:cs="Times New Roman"/>
          <w:sz w:val="18"/>
          <w:szCs w:val="18"/>
        </w:rPr>
        <w:t xml:space="preserve"> </w:t>
      </w:r>
    </w:p>
    <w:p w14:paraId="637F6038" w14:textId="77777777" w:rsidR="00EF1ED8" w:rsidRPr="002D11E8" w:rsidRDefault="00EF1ED8" w:rsidP="00EF1ED8">
      <w:pPr>
        <w:numPr>
          <w:ilvl w:val="0"/>
          <w:numId w:val="3"/>
        </w:numPr>
        <w:ind w:left="426" w:hanging="426"/>
        <w:rPr>
          <w:rFonts w:ascii="Helvetica" w:eastAsia="Times New Roman" w:hAnsi="Helvetica" w:cs="Times New Roman"/>
          <w:sz w:val="18"/>
          <w:szCs w:val="18"/>
        </w:rPr>
      </w:pPr>
      <w:r>
        <w:rPr>
          <w:rFonts w:ascii="Helvetica" w:eastAsia="Times New Roman" w:hAnsi="Helvetica" w:cs="Times New Roman"/>
          <w:b/>
          <w:bCs/>
          <w:sz w:val="18"/>
          <w:szCs w:val="18"/>
        </w:rPr>
        <w:t xml:space="preserve">chez </w:t>
      </w:r>
      <w:r w:rsidRPr="002D11E8">
        <w:rPr>
          <w:rFonts w:ascii="Helvetica" w:eastAsia="Times New Roman" w:hAnsi="Helvetica" w:cs="Times New Roman"/>
          <w:b/>
          <w:bCs/>
          <w:sz w:val="18"/>
          <w:szCs w:val="18"/>
        </w:rPr>
        <w:t>la femme en âge de procréer n’utilisant pas une contraception efficace.</w:t>
      </w:r>
      <w:r w:rsidRPr="002D11E8">
        <w:rPr>
          <w:rFonts w:ascii="Helvetica" w:eastAsia="Times New Roman" w:hAnsi="Helvetica" w:cs="Times New Roman"/>
          <w:sz w:val="18"/>
          <w:szCs w:val="18"/>
        </w:rPr>
        <w:t xml:space="preserve"> </w:t>
      </w:r>
    </w:p>
    <w:p w14:paraId="289B369D" w14:textId="77777777" w:rsidR="00EF1ED8" w:rsidRDefault="00EF1ED8" w:rsidP="00EF1ED8">
      <w:pPr>
        <w:rPr>
          <w:rFonts w:ascii="Helvetica" w:eastAsia="Times New Roman" w:hAnsi="Helvetica" w:cs="Times New Roman"/>
          <w:b/>
          <w:bCs/>
          <w:sz w:val="18"/>
          <w:szCs w:val="18"/>
        </w:rPr>
      </w:pPr>
    </w:p>
    <w:p w14:paraId="658AEF96" w14:textId="77777777" w:rsidR="00EF1ED8" w:rsidRDefault="00EF1ED8" w:rsidP="00EF1ED8">
      <w:pPr>
        <w:rPr>
          <w:rFonts w:ascii="Helvetica" w:eastAsia="Times New Roman" w:hAnsi="Helvetica" w:cs="Times New Roman"/>
          <w:sz w:val="18"/>
          <w:szCs w:val="18"/>
        </w:rPr>
      </w:pPr>
      <w:r w:rsidRPr="002D11E8">
        <w:rPr>
          <w:rFonts w:ascii="Helvetica" w:eastAsia="Times New Roman" w:hAnsi="Helvetica" w:cs="Times New Roman"/>
          <w:b/>
          <w:bCs/>
          <w:sz w:val="18"/>
          <w:szCs w:val="18"/>
        </w:rPr>
        <w:t>Pour les femmes en âge de procréer, avant l’initiation et pendant le traitement</w:t>
      </w:r>
      <w:r>
        <w:rPr>
          <w:rFonts w:ascii="Helvetica" w:eastAsia="Times New Roman" w:hAnsi="Helvetica" w:cs="Times New Roman"/>
          <w:b/>
          <w:bCs/>
          <w:sz w:val="18"/>
          <w:szCs w:val="18"/>
        </w:rPr>
        <w:t> :</w:t>
      </w:r>
    </w:p>
    <w:p w14:paraId="1E16436F" w14:textId="77777777" w:rsidR="00EF1ED8" w:rsidRPr="000E7CFA" w:rsidRDefault="00EF1ED8" w:rsidP="00EF1ED8">
      <w:pPr>
        <w:pStyle w:val="Paragraphedeliste"/>
        <w:numPr>
          <w:ilvl w:val="0"/>
          <w:numId w:val="4"/>
        </w:numPr>
        <w:ind w:left="426" w:hanging="426"/>
        <w:rPr>
          <w:rFonts w:ascii="Helvetica" w:eastAsia="Times New Roman" w:hAnsi="Helvetica" w:cs="Times New Roman"/>
          <w:sz w:val="18"/>
          <w:szCs w:val="18"/>
        </w:rPr>
      </w:pPr>
      <w:r w:rsidRPr="000E7CFA">
        <w:rPr>
          <w:rFonts w:ascii="Helvetica" w:eastAsia="Times New Roman" w:hAnsi="Helvetica" w:cs="Times New Roman"/>
          <w:sz w:val="18"/>
          <w:szCs w:val="18"/>
        </w:rPr>
        <w:t xml:space="preserve">la patiente </w:t>
      </w:r>
      <w:r>
        <w:rPr>
          <w:rFonts w:ascii="Helvetica" w:eastAsia="Times New Roman" w:hAnsi="Helvetica" w:cs="Times New Roman"/>
          <w:sz w:val="18"/>
          <w:szCs w:val="18"/>
        </w:rPr>
        <w:t xml:space="preserve">doit être </w:t>
      </w:r>
      <w:r w:rsidRPr="000E7CFA">
        <w:rPr>
          <w:rFonts w:ascii="Helvetica" w:eastAsia="Times New Roman" w:hAnsi="Helvetica" w:cs="Times New Roman"/>
          <w:sz w:val="18"/>
          <w:szCs w:val="18"/>
        </w:rPr>
        <w:t xml:space="preserve">informée du risque d’effets nocifs pour le fœtus </w:t>
      </w:r>
      <w:r>
        <w:rPr>
          <w:rFonts w:ascii="Helvetica" w:eastAsia="Times New Roman" w:hAnsi="Helvetica" w:cs="Times New Roman"/>
          <w:sz w:val="18"/>
          <w:szCs w:val="18"/>
        </w:rPr>
        <w:t xml:space="preserve">en cas de </w:t>
      </w:r>
      <w:r w:rsidRPr="000E7CFA">
        <w:rPr>
          <w:rFonts w:ascii="Helvetica" w:eastAsia="Times New Roman" w:hAnsi="Helvetica" w:cs="Times New Roman"/>
          <w:sz w:val="18"/>
          <w:szCs w:val="18"/>
        </w:rPr>
        <w:t xml:space="preserve">traitement par </w:t>
      </w:r>
      <w:proofErr w:type="spellStart"/>
      <w:r w:rsidRPr="000E7CFA">
        <w:rPr>
          <w:rFonts w:ascii="Helvetica" w:eastAsia="Times New Roman" w:hAnsi="Helvetica" w:cs="Times New Roman"/>
          <w:sz w:val="18"/>
          <w:szCs w:val="18"/>
        </w:rPr>
        <w:t>fingolimod</w:t>
      </w:r>
      <w:proofErr w:type="spellEnd"/>
      <w:r w:rsidRPr="000E7CFA">
        <w:rPr>
          <w:rFonts w:ascii="Helvetica" w:eastAsia="Times New Roman" w:hAnsi="Helvetica" w:cs="Times New Roman"/>
          <w:sz w:val="18"/>
          <w:szCs w:val="18"/>
        </w:rPr>
        <w:t>,</w:t>
      </w:r>
    </w:p>
    <w:p w14:paraId="5725A90D" w14:textId="77777777" w:rsidR="00EF1ED8" w:rsidRPr="002D11E8" w:rsidRDefault="00EF1ED8" w:rsidP="00EF1ED8">
      <w:pPr>
        <w:numPr>
          <w:ilvl w:val="0"/>
          <w:numId w:val="3"/>
        </w:numPr>
        <w:ind w:left="426" w:hanging="426"/>
        <w:rPr>
          <w:rFonts w:ascii="Helvetica" w:eastAsia="Times New Roman" w:hAnsi="Helvetica" w:cs="Times New Roman"/>
          <w:sz w:val="18"/>
          <w:szCs w:val="18"/>
        </w:rPr>
      </w:pPr>
      <w:r w:rsidRPr="002D11E8">
        <w:rPr>
          <w:rFonts w:ascii="Helvetica" w:eastAsia="Times New Roman" w:hAnsi="Helvetica" w:cs="Times New Roman"/>
          <w:sz w:val="18"/>
          <w:szCs w:val="18"/>
        </w:rPr>
        <w:t xml:space="preserve">un test de grossesse négatif </w:t>
      </w:r>
      <w:r>
        <w:rPr>
          <w:rFonts w:ascii="Helvetica" w:eastAsia="Times New Roman" w:hAnsi="Helvetica" w:cs="Times New Roman"/>
          <w:sz w:val="18"/>
          <w:szCs w:val="18"/>
        </w:rPr>
        <w:t>doit être</w:t>
      </w:r>
      <w:r w:rsidRPr="002D11E8">
        <w:rPr>
          <w:rFonts w:ascii="Helvetica" w:eastAsia="Times New Roman" w:hAnsi="Helvetica" w:cs="Times New Roman"/>
          <w:sz w:val="18"/>
          <w:szCs w:val="18"/>
        </w:rPr>
        <w:t xml:space="preserve"> disponible avant l’initiation du traitement,</w:t>
      </w:r>
    </w:p>
    <w:p w14:paraId="5AD34C9C" w14:textId="77777777" w:rsidR="00EF1ED8" w:rsidRPr="002D11E8" w:rsidRDefault="00EF1ED8" w:rsidP="00EF1ED8">
      <w:pPr>
        <w:numPr>
          <w:ilvl w:val="0"/>
          <w:numId w:val="3"/>
        </w:numPr>
        <w:ind w:left="426" w:hanging="426"/>
        <w:rPr>
          <w:rFonts w:ascii="Helvetica" w:eastAsia="Times New Roman" w:hAnsi="Helvetica" w:cs="Times New Roman"/>
          <w:sz w:val="18"/>
          <w:szCs w:val="18"/>
        </w:rPr>
      </w:pPr>
      <w:r w:rsidRPr="002D11E8">
        <w:rPr>
          <w:rFonts w:ascii="Helvetica" w:eastAsia="Times New Roman" w:hAnsi="Helvetica" w:cs="Times New Roman"/>
          <w:sz w:val="18"/>
          <w:szCs w:val="18"/>
        </w:rPr>
        <w:t xml:space="preserve">une contraception efficace </w:t>
      </w:r>
      <w:r>
        <w:rPr>
          <w:rFonts w:ascii="Helvetica" w:eastAsia="Times New Roman" w:hAnsi="Helvetica" w:cs="Times New Roman"/>
          <w:sz w:val="18"/>
          <w:szCs w:val="18"/>
        </w:rPr>
        <w:t>doit être</w:t>
      </w:r>
      <w:r w:rsidRPr="002D11E8">
        <w:rPr>
          <w:rFonts w:ascii="Helvetica" w:eastAsia="Times New Roman" w:hAnsi="Helvetica" w:cs="Times New Roman"/>
          <w:sz w:val="18"/>
          <w:szCs w:val="18"/>
        </w:rPr>
        <w:t xml:space="preserve"> utilisée pendant le traitement et au moins </w:t>
      </w:r>
      <w:r w:rsidR="00A9560E">
        <w:rPr>
          <w:rFonts w:ascii="Helvetica" w:eastAsia="Times New Roman" w:hAnsi="Helvetica" w:cs="Times New Roman"/>
          <w:sz w:val="18"/>
          <w:szCs w:val="18"/>
        </w:rPr>
        <w:t>2 </w:t>
      </w:r>
      <w:r w:rsidRPr="002D11E8">
        <w:rPr>
          <w:rFonts w:ascii="Helvetica" w:eastAsia="Times New Roman" w:hAnsi="Helvetica" w:cs="Times New Roman"/>
          <w:sz w:val="18"/>
          <w:szCs w:val="18"/>
        </w:rPr>
        <w:t>mois après son arrêt,</w:t>
      </w:r>
    </w:p>
    <w:p w14:paraId="772EE44B" w14:textId="77777777" w:rsidR="00EF1ED8" w:rsidRPr="002D11E8" w:rsidRDefault="00EF1ED8" w:rsidP="00EF1ED8">
      <w:pPr>
        <w:numPr>
          <w:ilvl w:val="0"/>
          <w:numId w:val="3"/>
        </w:numPr>
        <w:ind w:left="426" w:hanging="426"/>
        <w:rPr>
          <w:rFonts w:ascii="Helvetica" w:eastAsia="Times New Roman" w:hAnsi="Helvetica" w:cs="Times New Roman"/>
          <w:sz w:val="18"/>
          <w:szCs w:val="18"/>
        </w:rPr>
      </w:pPr>
      <w:r w:rsidRPr="002D11E8">
        <w:rPr>
          <w:rFonts w:ascii="Helvetica" w:eastAsia="Times New Roman" w:hAnsi="Helvetica" w:cs="Times New Roman"/>
          <w:sz w:val="18"/>
          <w:szCs w:val="18"/>
        </w:rPr>
        <w:t xml:space="preserve">le traitement par </w:t>
      </w:r>
      <w:proofErr w:type="spellStart"/>
      <w:r w:rsidRPr="002D11E8">
        <w:rPr>
          <w:rFonts w:ascii="Helvetica" w:eastAsia="Times New Roman" w:hAnsi="Helvetica" w:cs="Times New Roman"/>
          <w:sz w:val="18"/>
          <w:szCs w:val="18"/>
        </w:rPr>
        <w:t>fingolimod</w:t>
      </w:r>
      <w:proofErr w:type="spellEnd"/>
      <w:r w:rsidRPr="002D11E8">
        <w:rPr>
          <w:rFonts w:ascii="Helvetica" w:eastAsia="Times New Roman" w:hAnsi="Helvetica" w:cs="Times New Roman"/>
          <w:sz w:val="18"/>
          <w:szCs w:val="18"/>
        </w:rPr>
        <w:t xml:space="preserve"> </w:t>
      </w:r>
      <w:r>
        <w:rPr>
          <w:rFonts w:ascii="Helvetica" w:eastAsia="Times New Roman" w:hAnsi="Helvetica" w:cs="Times New Roman"/>
          <w:sz w:val="18"/>
          <w:szCs w:val="18"/>
        </w:rPr>
        <w:t>doit être</w:t>
      </w:r>
      <w:r w:rsidRPr="002D11E8">
        <w:rPr>
          <w:rFonts w:ascii="Helvetica" w:eastAsia="Times New Roman" w:hAnsi="Helvetica" w:cs="Times New Roman"/>
          <w:sz w:val="18"/>
          <w:szCs w:val="18"/>
        </w:rPr>
        <w:t xml:space="preserve"> arrêté 2</w:t>
      </w:r>
      <w:r w:rsidR="00A9560E">
        <w:rPr>
          <w:rFonts w:ascii="Helvetica" w:eastAsia="Times New Roman" w:hAnsi="Helvetica" w:cs="Times New Roman"/>
          <w:sz w:val="18"/>
          <w:szCs w:val="18"/>
        </w:rPr>
        <w:t> </w:t>
      </w:r>
      <w:r w:rsidRPr="002D11E8">
        <w:rPr>
          <w:rFonts w:ascii="Helvetica" w:eastAsia="Times New Roman" w:hAnsi="Helvetica" w:cs="Times New Roman"/>
          <w:sz w:val="18"/>
          <w:szCs w:val="18"/>
        </w:rPr>
        <w:t>mois avant un projet de grossesse.</w:t>
      </w:r>
    </w:p>
    <w:p w14:paraId="5CF91977" w14:textId="77777777" w:rsidR="00EF1ED8" w:rsidRDefault="00EF1ED8" w:rsidP="00EF1ED8">
      <w:pPr>
        <w:rPr>
          <w:rFonts w:ascii="Helvetica" w:eastAsia="Times New Roman" w:hAnsi="Helvetica" w:cs="Times New Roman"/>
          <w:b/>
          <w:bCs/>
          <w:sz w:val="18"/>
          <w:szCs w:val="18"/>
        </w:rPr>
      </w:pPr>
    </w:p>
    <w:p w14:paraId="5B52CCC3" w14:textId="62CD651C" w:rsidR="00EF1ED8" w:rsidRDefault="00EF1ED8" w:rsidP="00EF1ED8">
      <w:pPr>
        <w:rPr>
          <w:rFonts w:ascii="Helvetica" w:eastAsia="Times New Roman" w:hAnsi="Helvetica" w:cs="Times New Roman"/>
          <w:sz w:val="18"/>
          <w:szCs w:val="18"/>
        </w:rPr>
      </w:pPr>
      <w:r w:rsidRPr="002D11E8">
        <w:rPr>
          <w:rFonts w:ascii="Helvetica" w:eastAsia="Times New Roman" w:hAnsi="Helvetica" w:cs="Times New Roman"/>
          <w:b/>
          <w:bCs/>
          <w:sz w:val="18"/>
          <w:szCs w:val="18"/>
        </w:rPr>
        <w:t>Si une femme débute une grossesse pendant le traitement</w:t>
      </w:r>
      <w:r w:rsidR="001D2707">
        <w:rPr>
          <w:rFonts w:ascii="Helvetica" w:eastAsia="Times New Roman" w:hAnsi="Helvetica" w:cs="Times New Roman"/>
          <w:b/>
          <w:bCs/>
          <w:sz w:val="18"/>
          <w:szCs w:val="18"/>
        </w:rPr>
        <w:t> :</w:t>
      </w:r>
    </w:p>
    <w:p w14:paraId="12862936" w14:textId="77777777" w:rsidR="00EF1ED8" w:rsidRDefault="00EF1ED8" w:rsidP="00EF1ED8">
      <w:pPr>
        <w:numPr>
          <w:ilvl w:val="0"/>
          <w:numId w:val="3"/>
        </w:numPr>
        <w:ind w:left="426" w:hanging="426"/>
        <w:rPr>
          <w:rFonts w:ascii="Helvetica" w:eastAsia="Times New Roman" w:hAnsi="Helvetica" w:cs="Times New Roman"/>
          <w:sz w:val="18"/>
          <w:szCs w:val="18"/>
        </w:rPr>
      </w:pPr>
      <w:r>
        <w:rPr>
          <w:rFonts w:ascii="Helvetica" w:eastAsia="Times New Roman" w:hAnsi="Helvetica" w:cs="Times New Roman"/>
          <w:sz w:val="18"/>
          <w:szCs w:val="18"/>
        </w:rPr>
        <w:t xml:space="preserve">le </w:t>
      </w:r>
      <w:proofErr w:type="spellStart"/>
      <w:r>
        <w:rPr>
          <w:rFonts w:ascii="Helvetica" w:eastAsia="Times New Roman" w:hAnsi="Helvetica" w:cs="Times New Roman"/>
          <w:sz w:val="18"/>
          <w:szCs w:val="18"/>
        </w:rPr>
        <w:t>fingolimod</w:t>
      </w:r>
      <w:proofErr w:type="spellEnd"/>
      <w:r>
        <w:rPr>
          <w:rFonts w:ascii="Helvetica" w:eastAsia="Times New Roman" w:hAnsi="Helvetica" w:cs="Times New Roman"/>
          <w:sz w:val="18"/>
          <w:szCs w:val="18"/>
        </w:rPr>
        <w:t xml:space="preserve"> doit être arrêté,</w:t>
      </w:r>
    </w:p>
    <w:p w14:paraId="3FE7C453" w14:textId="77777777" w:rsidR="00EF1ED8" w:rsidRPr="002D11E8" w:rsidRDefault="00EF1ED8" w:rsidP="00EF1ED8">
      <w:pPr>
        <w:numPr>
          <w:ilvl w:val="0"/>
          <w:numId w:val="3"/>
        </w:numPr>
        <w:ind w:left="426" w:hanging="426"/>
        <w:rPr>
          <w:rFonts w:ascii="Helvetica" w:eastAsia="Times New Roman" w:hAnsi="Helvetica" w:cs="Times New Roman"/>
          <w:sz w:val="18"/>
          <w:szCs w:val="18"/>
        </w:rPr>
      </w:pPr>
      <w:r w:rsidRPr="002D11E8">
        <w:rPr>
          <w:rFonts w:ascii="Helvetica" w:eastAsia="Times New Roman" w:hAnsi="Helvetica" w:cs="Times New Roman"/>
          <w:sz w:val="18"/>
          <w:szCs w:val="18"/>
        </w:rPr>
        <w:t xml:space="preserve">le risque d’effets nocifs pour le fœtus </w:t>
      </w:r>
      <w:r>
        <w:rPr>
          <w:rFonts w:ascii="Helvetica" w:eastAsia="Times New Roman" w:hAnsi="Helvetica" w:cs="Times New Roman"/>
          <w:sz w:val="18"/>
          <w:szCs w:val="18"/>
        </w:rPr>
        <w:t xml:space="preserve">doit </w:t>
      </w:r>
      <w:r w:rsidRPr="002D11E8">
        <w:rPr>
          <w:rFonts w:ascii="Helvetica" w:eastAsia="Times New Roman" w:hAnsi="Helvetica" w:cs="Times New Roman"/>
          <w:sz w:val="18"/>
          <w:szCs w:val="18"/>
        </w:rPr>
        <w:t>être expliqué par le médecin,</w:t>
      </w:r>
    </w:p>
    <w:p w14:paraId="39637779" w14:textId="77777777" w:rsidR="00EF1ED8" w:rsidRPr="002D11E8" w:rsidRDefault="00EF1ED8" w:rsidP="00EF1ED8">
      <w:pPr>
        <w:numPr>
          <w:ilvl w:val="0"/>
          <w:numId w:val="3"/>
        </w:numPr>
        <w:ind w:left="426" w:hanging="426"/>
        <w:rPr>
          <w:rFonts w:ascii="Helvetica" w:eastAsia="Times New Roman" w:hAnsi="Helvetica" w:cs="Times New Roman"/>
          <w:sz w:val="18"/>
          <w:szCs w:val="18"/>
        </w:rPr>
      </w:pPr>
      <w:r w:rsidRPr="002D11E8">
        <w:rPr>
          <w:rFonts w:ascii="Helvetica" w:eastAsia="Times New Roman" w:hAnsi="Helvetica" w:cs="Times New Roman"/>
          <w:sz w:val="18"/>
          <w:szCs w:val="18"/>
        </w:rPr>
        <w:t>la grossesse doit être étroitement surveillée et des échographies doivent être effectuées.</w:t>
      </w:r>
    </w:p>
    <w:p w14:paraId="37EB3633" w14:textId="77777777" w:rsidR="00EF1ED8" w:rsidRDefault="00EF1ED8" w:rsidP="00EF1ED8">
      <w:pPr>
        <w:rPr>
          <w:rFonts w:ascii="Helvetica" w:hAnsi="Helvetica"/>
          <w:sz w:val="18"/>
          <w:szCs w:val="18"/>
        </w:rPr>
      </w:pPr>
    </w:p>
    <w:p w14:paraId="50F7DFEB" w14:textId="77777777" w:rsidR="00EF1ED8" w:rsidRDefault="00EF1ED8" w:rsidP="00EF1ED8">
      <w:pPr>
        <w:rPr>
          <w:rFonts w:ascii="Helvetica" w:hAnsi="Helvetica"/>
          <w:sz w:val="18"/>
          <w:szCs w:val="18"/>
        </w:rPr>
      </w:pPr>
    </w:p>
    <w:p w14:paraId="50562BF6" w14:textId="34E4A72B" w:rsidR="00EF1ED8" w:rsidRDefault="00EF1ED8" w:rsidP="00EF1ED8">
      <w:pPr>
        <w:rPr>
          <w:rFonts w:ascii="Helvetica" w:hAnsi="Helvetica" w:cs="Times New Roman"/>
          <w:color w:val="000000"/>
          <w:sz w:val="18"/>
          <w:szCs w:val="18"/>
        </w:rPr>
      </w:pPr>
      <w:r>
        <w:rPr>
          <w:rFonts w:ascii="Helvetica" w:hAnsi="Helvetica" w:cs="Times New Roman"/>
          <w:color w:val="000000"/>
          <w:sz w:val="18"/>
          <w:szCs w:val="18"/>
        </w:rPr>
        <w:t xml:space="preserve">Pour rappel : le traitement par </w:t>
      </w:r>
      <w:proofErr w:type="spellStart"/>
      <w:r>
        <w:rPr>
          <w:rFonts w:ascii="Helvetica" w:hAnsi="Helvetica" w:cs="Times New Roman"/>
          <w:color w:val="000000"/>
          <w:sz w:val="18"/>
          <w:szCs w:val="18"/>
        </w:rPr>
        <w:t>Gilenya</w:t>
      </w:r>
      <w:proofErr w:type="spellEnd"/>
      <w:r w:rsidR="00CB3814" w:rsidRPr="00CB3814">
        <w:rPr>
          <w:rFonts w:ascii="Helvetica" w:hAnsi="Helvetica" w:cs="Times New Roman"/>
          <w:color w:val="000000"/>
          <w:sz w:val="18"/>
          <w:szCs w:val="18"/>
          <w:vertAlign w:val="superscript"/>
        </w:rPr>
        <w:t>®</w:t>
      </w:r>
      <w:r>
        <w:rPr>
          <w:rFonts w:ascii="Helvetica" w:hAnsi="Helvetica" w:cs="Times New Roman"/>
          <w:color w:val="000000"/>
          <w:sz w:val="18"/>
          <w:szCs w:val="18"/>
        </w:rPr>
        <w:t xml:space="preserve"> est indiqué en monothérapie comme traitement de fond des formes très actives de sclérose en plaques (SEP) rémittente-</w:t>
      </w:r>
      <w:proofErr w:type="spellStart"/>
      <w:r>
        <w:rPr>
          <w:rFonts w:ascii="Helvetica" w:hAnsi="Helvetica" w:cs="Times New Roman"/>
          <w:color w:val="000000"/>
          <w:sz w:val="18"/>
          <w:szCs w:val="18"/>
        </w:rPr>
        <w:t>récurente</w:t>
      </w:r>
      <w:proofErr w:type="spellEnd"/>
      <w:r>
        <w:rPr>
          <w:rFonts w:ascii="Helvetica" w:hAnsi="Helvetica" w:cs="Times New Roman"/>
          <w:color w:val="000000"/>
          <w:sz w:val="18"/>
          <w:szCs w:val="18"/>
        </w:rPr>
        <w:t xml:space="preserve"> pour certains groupes de patients, adultes et enfants de 10 ans et plus :</w:t>
      </w:r>
    </w:p>
    <w:p w14:paraId="14E1644C" w14:textId="77777777" w:rsidR="00EF1ED8" w:rsidRPr="006F3141" w:rsidRDefault="00EF1ED8" w:rsidP="00EF1ED8">
      <w:pPr>
        <w:numPr>
          <w:ilvl w:val="0"/>
          <w:numId w:val="1"/>
        </w:num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6F3141">
        <w:rPr>
          <w:rFonts w:ascii="Helvetica" w:eastAsia="Times New Roman" w:hAnsi="Helvetica" w:cs="Times New Roman"/>
          <w:color w:val="000000"/>
          <w:sz w:val="18"/>
          <w:szCs w:val="18"/>
        </w:rPr>
        <w:t>Patients présentant une forme très active de la maladie malgré un traitement complet et bien conduit par au moins un traitement de fond de la sclérose en plaques.</w:t>
      </w:r>
    </w:p>
    <w:p w14:paraId="25D1689D" w14:textId="2A0B018A" w:rsidR="00EF1ED8" w:rsidRDefault="00EF1ED8" w:rsidP="00EF1ED8">
      <w:pPr>
        <w:numPr>
          <w:ilvl w:val="0"/>
          <w:numId w:val="2"/>
        </w:numPr>
        <w:rPr>
          <w:rFonts w:ascii="Helvetica" w:eastAsia="Times New Roman" w:hAnsi="Helvetica" w:cs="Times New Roman"/>
          <w:color w:val="000000"/>
          <w:sz w:val="18"/>
          <w:szCs w:val="18"/>
        </w:rPr>
      </w:pPr>
      <w:r>
        <w:rPr>
          <w:rFonts w:ascii="Helvetica" w:eastAsia="Times New Roman" w:hAnsi="Helvetica" w:cs="Times New Roman"/>
          <w:color w:val="000000"/>
          <w:sz w:val="18"/>
          <w:szCs w:val="18"/>
        </w:rPr>
        <w:t>P</w:t>
      </w:r>
      <w:r w:rsidRPr="006F3141">
        <w:rPr>
          <w:rFonts w:ascii="Helvetica" w:eastAsia="Times New Roman" w:hAnsi="Helvetica" w:cs="Times New Roman"/>
          <w:color w:val="000000"/>
          <w:sz w:val="18"/>
          <w:szCs w:val="18"/>
        </w:rPr>
        <w:t>atients présentant une sclérose en plaques rémittente-récurrente sévère et d'évolution rapide, définie par 2</w:t>
      </w:r>
      <w:r w:rsidR="00CB3814">
        <w:rPr>
          <w:rFonts w:ascii="Helvetica" w:eastAsia="Times New Roman" w:hAnsi="Helvetica" w:cs="Times New Roman"/>
          <w:color w:val="000000"/>
          <w:sz w:val="18"/>
          <w:szCs w:val="18"/>
        </w:rPr>
        <w:t> </w:t>
      </w:r>
      <w:r w:rsidRPr="006F3141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poussées invalidantes ou plus au cours d'une année associées à </w:t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>une</w:t>
      </w:r>
      <w:r w:rsidRPr="006F3141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ou plusieurs lésion(s) rehaussée(s) après injection de gadolinium sur l</w:t>
      </w:r>
      <w:r w:rsidR="00CB3814">
        <w:rPr>
          <w:rFonts w:ascii="Helvetica" w:eastAsia="Times New Roman" w:hAnsi="Helvetica" w:cs="Times New Roman"/>
          <w:color w:val="000000"/>
          <w:sz w:val="18"/>
          <w:szCs w:val="18"/>
        </w:rPr>
        <w:t>’</w:t>
      </w:r>
      <w:r w:rsidRPr="006F3141">
        <w:rPr>
          <w:rFonts w:ascii="Helvetica" w:eastAsia="Times New Roman" w:hAnsi="Helvetica" w:cs="Times New Roman"/>
          <w:color w:val="000000"/>
          <w:sz w:val="18"/>
          <w:szCs w:val="18"/>
        </w:rPr>
        <w:t>IRM cérébrale ou une augmentation significative de la charge lésionnelle en T2 par rapport à une IRM antérieure récente.</w:t>
      </w:r>
    </w:p>
    <w:p w14:paraId="6DA720EE" w14:textId="77777777" w:rsidR="00EF1ED8" w:rsidRDefault="00EF1ED8" w:rsidP="00EF1ED8">
      <w:pPr>
        <w:rPr>
          <w:rFonts w:ascii="Helvetica" w:hAnsi="Helvetica"/>
          <w:sz w:val="18"/>
          <w:szCs w:val="18"/>
        </w:rPr>
      </w:pPr>
    </w:p>
    <w:p w14:paraId="3FA738C1" w14:textId="77777777" w:rsidR="00EF1ED8" w:rsidRDefault="00EF1ED8" w:rsidP="00EF1ED8">
      <w:pPr>
        <w:rPr>
          <w:rFonts w:ascii="Helvetica" w:hAnsi="Helvetica"/>
          <w:sz w:val="18"/>
          <w:szCs w:val="18"/>
        </w:rPr>
      </w:pPr>
    </w:p>
    <w:p w14:paraId="0D392C58" w14:textId="77777777" w:rsidR="00EF1ED8" w:rsidRPr="00FC442B" w:rsidRDefault="00EF1ED8" w:rsidP="00EF1ED8">
      <w:pPr>
        <w:rPr>
          <w:rFonts w:ascii="Helvetica" w:hAnsi="Helvetica"/>
          <w:sz w:val="14"/>
          <w:szCs w:val="14"/>
        </w:rPr>
      </w:pPr>
      <w:r>
        <w:rPr>
          <w:rFonts w:ascii="Helvetica" w:hAnsi="Helvetica"/>
          <w:sz w:val="14"/>
          <w:szCs w:val="14"/>
        </w:rPr>
        <w:t xml:space="preserve">1. </w:t>
      </w:r>
      <w:r w:rsidRPr="00FC442B">
        <w:rPr>
          <w:rFonts w:ascii="Helvetica" w:hAnsi="Helvetica"/>
          <w:sz w:val="14"/>
          <w:szCs w:val="14"/>
        </w:rPr>
        <w:t>2-3 %, EUROCAT (</w:t>
      </w:r>
      <w:hyperlink r:id="rId6" w:history="1">
        <w:r w:rsidRPr="00FC442B">
          <w:rPr>
            <w:rStyle w:val="Lienhypertexte"/>
            <w:rFonts w:ascii="Helvetica" w:hAnsi="Helvetica"/>
            <w:sz w:val="14"/>
            <w:szCs w:val="14"/>
          </w:rPr>
          <w:t>http://www.eurocat-network.eu</w:t>
        </w:r>
      </w:hyperlink>
      <w:r w:rsidRPr="00FC442B">
        <w:rPr>
          <w:rFonts w:ascii="Helvetica" w:hAnsi="Helvetica"/>
          <w:sz w:val="14"/>
          <w:szCs w:val="14"/>
        </w:rPr>
        <w:t>).</w:t>
      </w:r>
    </w:p>
    <w:p w14:paraId="6566D27B" w14:textId="77777777" w:rsidR="00EF1ED8" w:rsidRDefault="00EF1ED8" w:rsidP="00EF1ED8">
      <w:pPr>
        <w:rPr>
          <w:rFonts w:ascii="Helvetica" w:hAnsi="Helvetica"/>
          <w:sz w:val="18"/>
          <w:szCs w:val="18"/>
        </w:rPr>
      </w:pPr>
    </w:p>
    <w:p w14:paraId="34A5A076" w14:textId="77777777" w:rsidR="00EF1ED8" w:rsidRDefault="00EF1ED8" w:rsidP="00EF1ED8">
      <w:pPr>
        <w:rPr>
          <w:rFonts w:ascii="Helvetica" w:hAnsi="Helvetica"/>
          <w:sz w:val="18"/>
          <w:szCs w:val="18"/>
        </w:rPr>
      </w:pPr>
    </w:p>
    <w:p w14:paraId="5109984C" w14:textId="77777777" w:rsidR="00EF1ED8" w:rsidRDefault="00EF1ED8" w:rsidP="00EF1ED8">
      <w:pPr>
        <w:rPr>
          <w:rFonts w:ascii="Helvetica" w:hAnsi="Helvetica"/>
          <w:sz w:val="18"/>
          <w:szCs w:val="18"/>
        </w:rPr>
      </w:pPr>
    </w:p>
    <w:p w14:paraId="29C60DEF" w14:textId="77777777" w:rsidR="00EF1ED8" w:rsidRDefault="00EF1ED8" w:rsidP="00EF1ED8">
      <w:pPr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>Liens :</w:t>
      </w:r>
    </w:p>
    <w:p w14:paraId="2E1152E1" w14:textId="77777777" w:rsidR="00EF1ED8" w:rsidRDefault="00EF1ED8" w:rsidP="00EF1ED8">
      <w:pPr>
        <w:rPr>
          <w:rFonts w:ascii="Helvetica" w:hAnsi="Helvetica"/>
          <w:sz w:val="18"/>
          <w:szCs w:val="18"/>
        </w:rPr>
      </w:pPr>
    </w:p>
    <w:p w14:paraId="69A55F65" w14:textId="77777777" w:rsidR="00EF1ED8" w:rsidRDefault="00EF1ED8" w:rsidP="00EF1ED8">
      <w:pPr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 xml:space="preserve">- ANSM : </w:t>
      </w:r>
      <w:proofErr w:type="spellStart"/>
      <w:r>
        <w:rPr>
          <w:rFonts w:ascii="Helvetica" w:hAnsi="Helvetica"/>
          <w:sz w:val="18"/>
          <w:szCs w:val="18"/>
        </w:rPr>
        <w:t>Gilenya</w:t>
      </w:r>
      <w:proofErr w:type="spellEnd"/>
      <w:r>
        <w:rPr>
          <w:rFonts w:ascii="Helvetica" w:hAnsi="Helvetica"/>
          <w:sz w:val="18"/>
          <w:szCs w:val="18"/>
        </w:rPr>
        <w:t> : nouvelle contre-indication chez la femme enceinte et en âge de procréer (02/09/2019)</w:t>
      </w:r>
    </w:p>
    <w:p w14:paraId="0849A7D8" w14:textId="77777777" w:rsidR="00EF1ED8" w:rsidRDefault="00EF1ED8" w:rsidP="00EF1ED8">
      <w:pPr>
        <w:rPr>
          <w:rFonts w:ascii="Helvetica" w:hAnsi="Helvetica"/>
          <w:sz w:val="18"/>
          <w:szCs w:val="18"/>
        </w:rPr>
      </w:pPr>
      <w:hyperlink r:id="rId7" w:history="1">
        <w:r w:rsidRPr="00C955A7">
          <w:rPr>
            <w:rStyle w:val="Lienhypertexte"/>
            <w:rFonts w:ascii="Helvetica" w:hAnsi="Helvetica"/>
            <w:sz w:val="18"/>
            <w:szCs w:val="18"/>
          </w:rPr>
          <w:t>https://ansm.sante.fr/S-informer/Informations-de-securite-Lettres-aux-professionnels-de-sante/GILENYA-R-fingolimod-Nouvelle-contre-indication-chez-la-femme-enceinte-et-en-age-de-procreer-n-utilisant-pas-une-contraception-efficace-Lettre-aux-professionnels-de-sante</w:t>
        </w:r>
      </w:hyperlink>
    </w:p>
    <w:p w14:paraId="0CB8D081" w14:textId="77777777" w:rsidR="00EF1ED8" w:rsidRDefault="00EF1ED8" w:rsidP="00EF1ED8">
      <w:pPr>
        <w:rPr>
          <w:rFonts w:ascii="Helvetica" w:hAnsi="Helvetica"/>
          <w:sz w:val="18"/>
          <w:szCs w:val="18"/>
        </w:rPr>
      </w:pPr>
    </w:p>
    <w:p w14:paraId="29239FD5" w14:textId="77777777" w:rsidR="00EF1ED8" w:rsidRDefault="00EF1ED8" w:rsidP="00EF1ED8">
      <w:pPr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>- Lettre d’information aux professionnels de santé (septembre 2019)</w:t>
      </w:r>
    </w:p>
    <w:p w14:paraId="56B78658" w14:textId="77777777" w:rsidR="00EF1ED8" w:rsidRPr="0031580F" w:rsidRDefault="00EF1ED8" w:rsidP="00EF1ED8">
      <w:pPr>
        <w:pStyle w:val="Titre3"/>
        <w:rPr>
          <w:rFonts w:ascii="Helvetica" w:eastAsia="Times New Roman" w:hAnsi="Helvetica"/>
          <w:b w:val="0"/>
          <w:color w:val="auto"/>
          <w:sz w:val="18"/>
          <w:szCs w:val="18"/>
        </w:rPr>
      </w:pPr>
      <w:r w:rsidRPr="0031580F">
        <w:rPr>
          <w:rFonts w:ascii="Helvetica" w:hAnsi="Helvetica"/>
          <w:b w:val="0"/>
          <w:color w:val="auto"/>
          <w:sz w:val="18"/>
          <w:szCs w:val="18"/>
        </w:rPr>
        <w:t xml:space="preserve">- </w:t>
      </w:r>
      <w:r w:rsidRPr="0031580F">
        <w:rPr>
          <w:rFonts w:ascii="Helvetica" w:eastAsia="Times New Roman" w:hAnsi="Helvetica"/>
          <w:b w:val="0"/>
          <w:color w:val="auto"/>
          <w:sz w:val="18"/>
          <w:szCs w:val="18"/>
        </w:rPr>
        <w:t xml:space="preserve">Médicaments à base de </w:t>
      </w:r>
      <w:proofErr w:type="spellStart"/>
      <w:r w:rsidRPr="0031580F">
        <w:rPr>
          <w:rFonts w:ascii="Helvetica" w:eastAsia="Times New Roman" w:hAnsi="Helvetica"/>
          <w:b w:val="0"/>
          <w:color w:val="auto"/>
          <w:sz w:val="18"/>
          <w:szCs w:val="18"/>
        </w:rPr>
        <w:t>cyprotérone</w:t>
      </w:r>
      <w:proofErr w:type="spellEnd"/>
      <w:r w:rsidRPr="0031580F">
        <w:rPr>
          <w:rFonts w:ascii="Helvetica" w:eastAsia="Times New Roman" w:hAnsi="Helvetica"/>
          <w:b w:val="0"/>
          <w:color w:val="auto"/>
          <w:sz w:val="18"/>
          <w:szCs w:val="18"/>
        </w:rPr>
        <w:t xml:space="preserve">, à base de méthotrexate, </w:t>
      </w:r>
      <w:proofErr w:type="spellStart"/>
      <w:r w:rsidRPr="0031580F">
        <w:rPr>
          <w:rFonts w:ascii="Helvetica" w:eastAsia="Times New Roman" w:hAnsi="Helvetica"/>
          <w:b w:val="0"/>
          <w:color w:val="auto"/>
          <w:sz w:val="18"/>
          <w:szCs w:val="18"/>
        </w:rPr>
        <w:t>fluoropyrimidines</w:t>
      </w:r>
      <w:proofErr w:type="spellEnd"/>
      <w:r w:rsidRPr="0031580F">
        <w:rPr>
          <w:rFonts w:ascii="Helvetica" w:eastAsia="Times New Roman" w:hAnsi="Helvetica"/>
          <w:b w:val="0"/>
          <w:color w:val="auto"/>
          <w:sz w:val="18"/>
          <w:szCs w:val="18"/>
        </w:rPr>
        <w:t>, GILENYA (</w:t>
      </w:r>
      <w:proofErr w:type="spellStart"/>
      <w:r w:rsidRPr="0031580F">
        <w:rPr>
          <w:rFonts w:ascii="Helvetica" w:eastAsia="Times New Roman" w:hAnsi="Helvetica"/>
          <w:b w:val="0"/>
          <w:color w:val="auto"/>
          <w:sz w:val="18"/>
          <w:szCs w:val="18"/>
        </w:rPr>
        <w:t>Fingolimod</w:t>
      </w:r>
      <w:proofErr w:type="spellEnd"/>
      <w:r w:rsidRPr="0031580F">
        <w:rPr>
          <w:rFonts w:ascii="Helvetica" w:eastAsia="Times New Roman" w:hAnsi="Helvetica"/>
          <w:b w:val="0"/>
          <w:color w:val="auto"/>
          <w:sz w:val="18"/>
          <w:szCs w:val="18"/>
        </w:rPr>
        <w:t>) : retour d’information sur le PRAC de juillet 2019 - Point d'information</w:t>
      </w:r>
      <w:r>
        <w:rPr>
          <w:rFonts w:ascii="Helvetica" w:eastAsia="Times New Roman" w:hAnsi="Helvetica"/>
          <w:b w:val="0"/>
          <w:color w:val="auto"/>
          <w:sz w:val="18"/>
          <w:szCs w:val="18"/>
        </w:rPr>
        <w:t xml:space="preserve"> (08/08/2019)</w:t>
      </w:r>
    </w:p>
    <w:p w14:paraId="59A9C13F" w14:textId="77777777" w:rsidR="00EF1ED8" w:rsidRDefault="00EF1ED8" w:rsidP="00EF1ED8">
      <w:pPr>
        <w:rPr>
          <w:rFonts w:ascii="Helvetica" w:hAnsi="Helvetica"/>
          <w:sz w:val="18"/>
          <w:szCs w:val="18"/>
        </w:rPr>
      </w:pPr>
      <w:hyperlink r:id="rId8" w:history="1">
        <w:r w:rsidRPr="00C955A7">
          <w:rPr>
            <w:rStyle w:val="Lienhypertexte"/>
            <w:rFonts w:ascii="Helvetica" w:hAnsi="Helvetica"/>
            <w:sz w:val="18"/>
            <w:szCs w:val="18"/>
          </w:rPr>
          <w:t>https://ansm.sante.fr/S-informer/Travaux-de-l-Agence-Europeenne-des-Medicaments-EMA-Comite-pour-l-evaluation-des-risques-en-matiere-de-pharmacovigilance-PRAC/Medicaments-a-base-de-cyproterone-a-base-de-methotrexate-fluoropyrimidines-GILENYA-Fingolimod-retour-d-information-sur-le-PRAC-de-juillet-2019-Point-d-information</w:t>
        </w:r>
      </w:hyperlink>
    </w:p>
    <w:p w14:paraId="7DE2CF9F" w14:textId="77777777" w:rsidR="009A3D95" w:rsidRDefault="009A3D95"/>
    <w:sectPr w:rsidR="009A3D95" w:rsidSect="009A3D9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5552F"/>
    <w:multiLevelType w:val="multilevel"/>
    <w:tmpl w:val="7CD80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F9424C"/>
    <w:multiLevelType w:val="multilevel"/>
    <w:tmpl w:val="3EE07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B3007B"/>
    <w:multiLevelType w:val="hybridMultilevel"/>
    <w:tmpl w:val="5D005A6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5C4159B"/>
    <w:multiLevelType w:val="multilevel"/>
    <w:tmpl w:val="31225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ED8"/>
    <w:rsid w:val="001D2707"/>
    <w:rsid w:val="00767C93"/>
    <w:rsid w:val="009A3D95"/>
    <w:rsid w:val="00A9560E"/>
    <w:rsid w:val="00CB3814"/>
    <w:rsid w:val="00EF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961A85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ED8"/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F1ED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semiHidden/>
    <w:rsid w:val="00EF1ED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Lienhypertexte">
    <w:name w:val="Hyperlink"/>
    <w:basedOn w:val="Policepardfaut"/>
    <w:uiPriority w:val="99"/>
    <w:unhideWhenUsed/>
    <w:rsid w:val="00EF1ED8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EF1E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ED8"/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F1ED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semiHidden/>
    <w:rsid w:val="00EF1ED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Lienhypertexte">
    <w:name w:val="Hyperlink"/>
    <w:basedOn w:val="Policepardfaut"/>
    <w:uiPriority w:val="99"/>
    <w:unhideWhenUsed/>
    <w:rsid w:val="00EF1ED8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EF1E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eurocat-network.eu" TargetMode="External"/><Relationship Id="rId7" Type="http://schemas.openxmlformats.org/officeDocument/2006/relationships/hyperlink" Target="https://ansm.sante.fr/S-informer/Informations-de-securite-Lettres-aux-professionnels-de-sante/GILENYA-R-fingolimod-Nouvelle-contre-indication-chez-la-femme-enceinte-et-en-age-de-procreer-n-utilisant-pas-une-contraception-efficace-Lettre-aux-professionnels-de-sante" TargetMode="External"/><Relationship Id="rId8" Type="http://schemas.openxmlformats.org/officeDocument/2006/relationships/hyperlink" Target="https://ansm.sante.fr/S-informer/Travaux-de-l-Agence-Europeenne-des-Medicaments-EMA-Comite-pour-l-evaluation-des-risques-en-matiere-de-pharmacovigilance-PRAC/Medicaments-a-base-de-cyproterone-a-base-de-methotrexate-fluoropyrimidines-GILENYA-Fingolimod-retour-d-information-sur-le-PRAC-de-juillet-2019-Point-d-information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644</Words>
  <Characters>3545</Characters>
  <Application>Microsoft Macintosh Word</Application>
  <DocSecurity>0</DocSecurity>
  <Lines>29</Lines>
  <Paragraphs>8</Paragraphs>
  <ScaleCrop>false</ScaleCrop>
  <Company/>
  <LinksUpToDate>false</LinksUpToDate>
  <CharactersWithSpaces>4181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Maurice</dc:creator>
  <cp:keywords/>
  <dc:description/>
  <cp:lastModifiedBy>Maurice</cp:lastModifiedBy>
  <cp:revision>5</cp:revision>
  <dcterms:created xsi:type="dcterms:W3CDTF">2019-09-05T09:04:00Z</dcterms:created>
  <dcterms:modified xsi:type="dcterms:W3CDTF">2019-09-05T09:11:00Z</dcterms:modified>
</cp:coreProperties>
</file>